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49002C" w14:textId="59B83596" w:rsidR="00385FB4" w:rsidRPr="00385FB4" w:rsidRDefault="00385FB4" w:rsidP="00385FB4">
      <w:pPr>
        <w:jc w:val="center"/>
        <w:rPr>
          <w:rFonts w:ascii="Microsoft Sans Serif" w:hAnsi="Microsoft Sans Serif" w:cs="Microsoft Sans Serif"/>
          <w:sz w:val="28"/>
          <w:szCs w:val="28"/>
        </w:rPr>
      </w:pPr>
      <w:r w:rsidRPr="00385FB4">
        <w:rPr>
          <w:rFonts w:ascii="Microsoft Sans Serif" w:hAnsi="Microsoft Sans Serif" w:cs="Microsoft Sans Serif"/>
          <w:sz w:val="28"/>
          <w:szCs w:val="28"/>
        </w:rPr>
        <w:t>Citations</w:t>
      </w:r>
    </w:p>
    <w:p w14:paraId="2B69EF46" w14:textId="200040A3" w:rsidR="00385FB4" w:rsidRDefault="00385FB4" w:rsidP="00385FB4">
      <w:pPr>
        <w:jc w:val="center"/>
        <w:rPr>
          <w:rFonts w:ascii="Microsoft Sans Serif" w:hAnsi="Microsoft Sans Serif" w:cs="Microsoft Sans Serif"/>
          <w:sz w:val="28"/>
          <w:szCs w:val="28"/>
        </w:rPr>
      </w:pPr>
      <w:r w:rsidRPr="00385FB4">
        <w:rPr>
          <w:rFonts w:ascii="Microsoft Sans Serif" w:hAnsi="Microsoft Sans Serif" w:cs="Microsoft Sans Serif"/>
          <w:sz w:val="28"/>
          <w:szCs w:val="28"/>
        </w:rPr>
        <w:t xml:space="preserve">Table A: Prevalence of AE: Comparison of surgical </w:t>
      </w:r>
      <w:proofErr w:type="spellStart"/>
      <w:r w:rsidRPr="00385FB4">
        <w:rPr>
          <w:rFonts w:ascii="Microsoft Sans Serif" w:hAnsi="Microsoft Sans Serif" w:cs="Microsoft Sans Serif"/>
          <w:sz w:val="28"/>
          <w:szCs w:val="28"/>
        </w:rPr>
        <w:t>speciments</w:t>
      </w:r>
      <w:proofErr w:type="spellEnd"/>
      <w:r w:rsidRPr="00385FB4">
        <w:rPr>
          <w:rFonts w:ascii="Microsoft Sans Serif" w:hAnsi="Microsoft Sans Serif" w:cs="Microsoft Sans Serif"/>
          <w:sz w:val="28"/>
          <w:szCs w:val="28"/>
        </w:rPr>
        <w:t xml:space="preserve"> from Acute Appendicitis, Chronic Pelvic Pain and Endometriosis.</w:t>
      </w:r>
    </w:p>
    <w:p w14:paraId="44BC7D2A" w14:textId="0E1A86D5" w:rsidR="00385FB4" w:rsidRDefault="00385FB4" w:rsidP="00385FB4">
      <w:pPr>
        <w:jc w:val="center"/>
        <w:rPr>
          <w:rFonts w:ascii="Microsoft Sans Serif" w:hAnsi="Microsoft Sans Serif" w:cs="Microsoft Sans Serif"/>
          <w:sz w:val="28"/>
          <w:szCs w:val="28"/>
        </w:rPr>
      </w:pPr>
    </w:p>
    <w:p w14:paraId="2AB3534D" w14:textId="6B6F4007" w:rsidR="00385FB4" w:rsidRDefault="00385FB4" w:rsidP="00385FB4">
      <w:pPr>
        <w:pStyle w:val="ListParagraph"/>
        <w:numPr>
          <w:ilvl w:val="0"/>
          <w:numId w:val="1"/>
        </w:numPr>
        <w:jc w:val="both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 Berker B.,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LaShayN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Davarpanah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R,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Marziali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M,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Nezhat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C and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Nezhat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C.   Laparoscopic appendectomy in patients with endometriosis. JMIG.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2005;12:206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 xml:space="preserve">-209.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Doi:10.1016/j.jmig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>.2005.03.003</w:t>
      </w:r>
      <w:r w:rsidR="00C85FA5">
        <w:rPr>
          <w:rFonts w:ascii="Microsoft Sans Serif" w:hAnsi="Microsoft Sans Serif" w:cs="Microsoft Sans Serif"/>
          <w:sz w:val="28"/>
          <w:szCs w:val="28"/>
        </w:rPr>
        <w:t>.</w:t>
      </w:r>
    </w:p>
    <w:p w14:paraId="31407853" w14:textId="07CF63D4" w:rsidR="00385FB4" w:rsidRDefault="00385FB4" w:rsidP="00385FB4">
      <w:pPr>
        <w:jc w:val="both"/>
        <w:rPr>
          <w:rFonts w:ascii="Microsoft Sans Serif" w:hAnsi="Microsoft Sans Serif" w:cs="Microsoft Sans Serif"/>
          <w:sz w:val="28"/>
          <w:szCs w:val="28"/>
        </w:rPr>
      </w:pPr>
    </w:p>
    <w:p w14:paraId="512777A0" w14:textId="2447A41A" w:rsidR="00385FB4" w:rsidRDefault="00385FB4" w:rsidP="00385FB4">
      <w:pPr>
        <w:pStyle w:val="ListParagraph"/>
        <w:numPr>
          <w:ilvl w:val="0"/>
          <w:numId w:val="1"/>
        </w:numPr>
        <w:jc w:val="both"/>
        <w:rPr>
          <w:rFonts w:ascii="Microsoft Sans Serif" w:hAnsi="Microsoft Sans Serif" w:cs="Microsoft Sans Serif"/>
          <w:sz w:val="28"/>
          <w:szCs w:val="28"/>
        </w:rPr>
      </w:pPr>
      <w:r w:rsidRPr="002B6FBF">
        <w:rPr>
          <w:rFonts w:ascii="Microsoft Sans Serif" w:hAnsi="Microsoft Sans Serif" w:cs="Microsoft Sans Serif"/>
          <w:sz w:val="28"/>
          <w:szCs w:val="28"/>
        </w:rPr>
        <w:t xml:space="preserve"> </w:t>
      </w:r>
      <w:r w:rsidR="002B6FBF">
        <w:rPr>
          <w:rFonts w:ascii="Microsoft Sans Serif" w:hAnsi="Microsoft Sans Serif" w:cs="Microsoft Sans Serif"/>
          <w:sz w:val="28"/>
          <w:szCs w:val="28"/>
        </w:rPr>
        <w:t xml:space="preserve">A) </w:t>
      </w:r>
      <w:r w:rsidRPr="002B6FBF">
        <w:rPr>
          <w:rFonts w:ascii="Microsoft Sans Serif" w:hAnsi="Microsoft Sans Serif" w:cs="Microsoft Sans Serif"/>
          <w:sz w:val="28"/>
          <w:szCs w:val="28"/>
        </w:rPr>
        <w:t xml:space="preserve">Farzan NA, </w:t>
      </w:r>
      <w:proofErr w:type="spellStart"/>
      <w:r w:rsidRPr="002B6FBF">
        <w:rPr>
          <w:rFonts w:ascii="Microsoft Sans Serif" w:hAnsi="Microsoft Sans Serif" w:cs="Microsoft Sans Serif"/>
          <w:sz w:val="28"/>
          <w:szCs w:val="28"/>
        </w:rPr>
        <w:t>Tenzel</w:t>
      </w:r>
      <w:proofErr w:type="spellEnd"/>
      <w:r w:rsidRPr="002B6FBF">
        <w:rPr>
          <w:rFonts w:ascii="Microsoft Sans Serif" w:hAnsi="Microsoft Sans Serif" w:cs="Microsoft Sans Serif"/>
          <w:sz w:val="28"/>
          <w:szCs w:val="28"/>
        </w:rPr>
        <w:t xml:space="preserve"> NS, Hua P, Pan S, </w:t>
      </w:r>
      <w:proofErr w:type="spellStart"/>
      <w:r w:rsidRPr="002B6FBF">
        <w:rPr>
          <w:rFonts w:ascii="Microsoft Sans Serif" w:hAnsi="Microsoft Sans Serif" w:cs="Microsoft Sans Serif"/>
          <w:sz w:val="28"/>
          <w:szCs w:val="28"/>
        </w:rPr>
        <w:t>Orbuch</w:t>
      </w:r>
      <w:proofErr w:type="spellEnd"/>
      <w:r w:rsidRPr="002B6FBF">
        <w:rPr>
          <w:rFonts w:ascii="Microsoft Sans Serif" w:hAnsi="Microsoft Sans Serif" w:cs="Microsoft Sans Serif"/>
          <w:sz w:val="28"/>
          <w:szCs w:val="28"/>
        </w:rPr>
        <w:t xml:space="preserve"> L, </w:t>
      </w:r>
      <w:proofErr w:type="spellStart"/>
      <w:r w:rsidRPr="002B6FBF">
        <w:rPr>
          <w:rFonts w:ascii="Microsoft Sans Serif" w:hAnsi="Microsoft Sans Serif" w:cs="Microsoft Sans Serif"/>
          <w:sz w:val="28"/>
          <w:szCs w:val="28"/>
        </w:rPr>
        <w:t>Orbuch</w:t>
      </w:r>
      <w:proofErr w:type="spellEnd"/>
      <w:r w:rsidRPr="002B6FBF">
        <w:rPr>
          <w:rFonts w:ascii="Microsoft Sans Serif" w:hAnsi="Microsoft Sans Serif" w:cs="Microsoft Sans Serif"/>
          <w:sz w:val="28"/>
          <w:szCs w:val="28"/>
        </w:rPr>
        <w:t xml:space="preserve"> IK. Concomitant appendectomy in patients with pelvic pain: can we predict abnormal appendiceal pathology? JMIG.2019;26(7</w:t>
      </w:r>
      <w:proofErr w:type="gramStart"/>
      <w:r w:rsidRPr="002B6FBF">
        <w:rPr>
          <w:rFonts w:ascii="Microsoft Sans Serif" w:hAnsi="Microsoft Sans Serif" w:cs="Microsoft Sans Serif"/>
          <w:sz w:val="28"/>
          <w:szCs w:val="28"/>
        </w:rPr>
        <w:t>):S</w:t>
      </w:r>
      <w:proofErr w:type="gramEnd"/>
      <w:r w:rsidRPr="002B6FBF">
        <w:rPr>
          <w:rFonts w:ascii="Microsoft Sans Serif" w:hAnsi="Microsoft Sans Serif" w:cs="Microsoft Sans Serif"/>
          <w:sz w:val="28"/>
          <w:szCs w:val="28"/>
        </w:rPr>
        <w:t xml:space="preserve">183-183 (Virtual </w:t>
      </w:r>
      <w:r w:rsidR="002B6FBF">
        <w:rPr>
          <w:rFonts w:ascii="Microsoft Sans Serif" w:hAnsi="Microsoft Sans Serif" w:cs="Microsoft Sans Serif"/>
          <w:sz w:val="28"/>
          <w:szCs w:val="28"/>
        </w:rPr>
        <w:t>p</w:t>
      </w:r>
      <w:r w:rsidRPr="002B6FBF">
        <w:rPr>
          <w:rFonts w:ascii="Microsoft Sans Serif" w:hAnsi="Microsoft Sans Serif" w:cs="Microsoft Sans Serif"/>
          <w:sz w:val="28"/>
          <w:szCs w:val="28"/>
        </w:rPr>
        <w:t xml:space="preserve">oster </w:t>
      </w:r>
      <w:r w:rsidR="002B6FBF">
        <w:rPr>
          <w:rFonts w:ascii="Microsoft Sans Serif" w:hAnsi="Microsoft Sans Serif" w:cs="Microsoft Sans Serif"/>
          <w:sz w:val="28"/>
          <w:szCs w:val="28"/>
        </w:rPr>
        <w:t>p</w:t>
      </w:r>
      <w:r w:rsidRPr="002B6FBF">
        <w:rPr>
          <w:rFonts w:ascii="Microsoft Sans Serif" w:hAnsi="Microsoft Sans Serif" w:cs="Microsoft Sans Serif"/>
          <w:sz w:val="28"/>
          <w:szCs w:val="28"/>
        </w:rPr>
        <w:t>resentatio</w:t>
      </w:r>
      <w:r w:rsidR="002B6FBF">
        <w:rPr>
          <w:rFonts w:ascii="Microsoft Sans Serif" w:hAnsi="Microsoft Sans Serif" w:cs="Microsoft Sans Serif"/>
          <w:sz w:val="28"/>
          <w:szCs w:val="28"/>
        </w:rPr>
        <w:t>n,</w:t>
      </w:r>
      <w:r w:rsidRPr="002B6FBF">
        <w:rPr>
          <w:rFonts w:ascii="Microsoft Sans Serif" w:hAnsi="Microsoft Sans Serif" w:cs="Microsoft Sans Serif"/>
          <w:sz w:val="28"/>
          <w:szCs w:val="28"/>
        </w:rPr>
        <w:t xml:space="preserve"> AAGL Conference </w:t>
      </w:r>
      <w:r w:rsidR="002B6FBF">
        <w:rPr>
          <w:rFonts w:ascii="Microsoft Sans Serif" w:hAnsi="Microsoft Sans Serif" w:cs="Microsoft Sans Serif"/>
          <w:sz w:val="28"/>
          <w:szCs w:val="28"/>
        </w:rPr>
        <w:t>Nov 2019; Vancouver, British Columbia, Canada</w:t>
      </w:r>
      <w:r w:rsidR="00C85FA5">
        <w:rPr>
          <w:rFonts w:ascii="Microsoft Sans Serif" w:hAnsi="Microsoft Sans Serif" w:cs="Microsoft Sans Serif"/>
          <w:sz w:val="28"/>
          <w:szCs w:val="28"/>
        </w:rPr>
        <w:t>.</w:t>
      </w:r>
    </w:p>
    <w:p w14:paraId="4EE66BCE" w14:textId="77777777" w:rsidR="002B6FBF" w:rsidRPr="002B6FBF" w:rsidRDefault="002B6FBF" w:rsidP="002B6FBF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76EBCB62" w14:textId="3F831EF6" w:rsidR="002B6FBF" w:rsidRDefault="002B6FBF" w:rsidP="00385FB4">
      <w:pPr>
        <w:pStyle w:val="ListParagraph"/>
        <w:numPr>
          <w:ilvl w:val="0"/>
          <w:numId w:val="1"/>
        </w:numPr>
        <w:jc w:val="both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B) Farzan NA,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Tenzel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NS, Hua P, Pan S,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Orbuch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L,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Orbuch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IK. Should concomitant appendectomy be performed in patients with endometriosis?  Virtual poster presentation, AAGL Conference Nov 2019; Vancouver, British Columbia, Canada</w:t>
      </w:r>
      <w:r w:rsidR="00C85FA5">
        <w:rPr>
          <w:rFonts w:ascii="Microsoft Sans Serif" w:hAnsi="Microsoft Sans Serif" w:cs="Microsoft Sans Serif"/>
          <w:sz w:val="28"/>
          <w:szCs w:val="28"/>
        </w:rPr>
        <w:t>.</w:t>
      </w:r>
    </w:p>
    <w:p w14:paraId="1CDB3CC4" w14:textId="77777777" w:rsidR="002B6FBF" w:rsidRPr="002B6FBF" w:rsidRDefault="002B6FBF" w:rsidP="002B6FBF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1FC327D1" w14:textId="6809154D" w:rsidR="002B6FBF" w:rsidRDefault="002B6FBF" w:rsidP="00385FB4">
      <w:pPr>
        <w:pStyle w:val="ListParagraph"/>
        <w:numPr>
          <w:ilvl w:val="0"/>
          <w:numId w:val="1"/>
        </w:numPr>
        <w:jc w:val="both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Gustofson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RL, Kim N, Liu S, Stratton P. Endometriosis and the appendix: a case series and comprehensive review of the literature. Fertility Sterility 2006;86(2):298-303</w:t>
      </w:r>
      <w:r w:rsidR="00C85FA5">
        <w:rPr>
          <w:rFonts w:ascii="Microsoft Sans Serif" w:hAnsi="Microsoft Sans Serif" w:cs="Microsoft Sans Serif"/>
          <w:sz w:val="28"/>
          <w:szCs w:val="28"/>
        </w:rPr>
        <w:t>.</w:t>
      </w:r>
    </w:p>
    <w:p w14:paraId="11693E91" w14:textId="1CF51DBB" w:rsidR="002B6FBF" w:rsidRDefault="002B6FBF" w:rsidP="002B6FBF">
      <w:pPr>
        <w:jc w:val="both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 </w:t>
      </w:r>
    </w:p>
    <w:p w14:paraId="02824C14" w14:textId="25F82A6E" w:rsidR="002B6FBF" w:rsidRDefault="002B6FBF" w:rsidP="002B6FBF">
      <w:pPr>
        <w:pStyle w:val="ListParagraph"/>
        <w:numPr>
          <w:ilvl w:val="0"/>
          <w:numId w:val="1"/>
        </w:numPr>
        <w:jc w:val="both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Liu LA,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Seckin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SI, Goldstein KP,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Seckin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TA. Appendiceal pathology in women with endometriosis. </w:t>
      </w:r>
      <w:r w:rsidR="00C85FA5">
        <w:rPr>
          <w:rFonts w:ascii="Microsoft Sans Serif" w:hAnsi="Microsoft Sans Serif" w:cs="Microsoft Sans Serif"/>
          <w:sz w:val="28"/>
          <w:szCs w:val="28"/>
        </w:rPr>
        <w:t>Virtual poster presentation, AAGL Conference Nov 2019; Vancouver, British Columbia, Canada.</w:t>
      </w:r>
    </w:p>
    <w:p w14:paraId="29FC3FCA" w14:textId="77777777" w:rsidR="00C85FA5" w:rsidRPr="00C85FA5" w:rsidRDefault="00C85FA5" w:rsidP="00C85FA5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3C80885E" w14:textId="17D770E6" w:rsidR="00C85FA5" w:rsidRDefault="00C85FA5" w:rsidP="002B6FBF">
      <w:pPr>
        <w:pStyle w:val="ListParagraph"/>
        <w:numPr>
          <w:ilvl w:val="0"/>
          <w:numId w:val="1"/>
        </w:numPr>
        <w:jc w:val="both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 Unver N,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Ganime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C,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Dilek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SA, Nur B,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Zuhal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G, Fatma UM et al. Unusual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hisopathological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findings in appendectomy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speciments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>: a retrospective analysis of 2047 cases. Int’l J Surg Pathology. 2018. Doi:10.1177/1066896918784650,</w:t>
      </w:r>
    </w:p>
    <w:p w14:paraId="54D92C01" w14:textId="77777777" w:rsidR="00C85FA5" w:rsidRPr="00C85FA5" w:rsidRDefault="00C85FA5" w:rsidP="00C85FA5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3F12F1F5" w14:textId="77777777" w:rsidR="00C85FA5" w:rsidRPr="002B6FBF" w:rsidRDefault="00C85FA5" w:rsidP="00C85FA5">
      <w:pPr>
        <w:pStyle w:val="ListParagraph"/>
        <w:jc w:val="both"/>
        <w:rPr>
          <w:rFonts w:ascii="Microsoft Sans Serif" w:hAnsi="Microsoft Sans Serif" w:cs="Microsoft Sans Serif"/>
          <w:sz w:val="28"/>
          <w:szCs w:val="28"/>
        </w:rPr>
      </w:pPr>
      <w:bookmarkStart w:id="0" w:name="_GoBack"/>
      <w:bookmarkEnd w:id="0"/>
    </w:p>
    <w:sectPr w:rsidR="00C85FA5" w:rsidRPr="002B6F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C0E22"/>
    <w:multiLevelType w:val="hybridMultilevel"/>
    <w:tmpl w:val="A19C89EC"/>
    <w:lvl w:ilvl="0" w:tplc="24FA0C7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FB4"/>
    <w:rsid w:val="002B6FBF"/>
    <w:rsid w:val="00385FB4"/>
    <w:rsid w:val="00C85FA5"/>
    <w:rsid w:val="00CE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99A57"/>
  <w15:chartTrackingRefBased/>
  <w15:docId w15:val="{8BB9C793-6462-4393-9313-BE667D83A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5F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Bingham</dc:creator>
  <cp:keywords/>
  <dc:description/>
  <cp:lastModifiedBy>Wendy Bingham</cp:lastModifiedBy>
  <cp:revision>1</cp:revision>
  <dcterms:created xsi:type="dcterms:W3CDTF">2020-02-07T06:30:00Z</dcterms:created>
  <dcterms:modified xsi:type="dcterms:W3CDTF">2020-02-07T06:57:00Z</dcterms:modified>
</cp:coreProperties>
</file>